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Pr="00A00515" w:rsidRDefault="003154A2" w:rsidP="00A00515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 w:rsidRPr="00A00515">
        <w:rPr>
          <w:rFonts w:ascii="Arial" w:hAnsi="Arial" w:cs="Arial"/>
          <w:b/>
          <w:sz w:val="28"/>
          <w:szCs w:val="28"/>
        </w:rPr>
        <w:t xml:space="preserve">PROGRAMA </w:t>
      </w:r>
      <w:r w:rsidR="0081752E" w:rsidRPr="00A00515">
        <w:rPr>
          <w:rFonts w:ascii="Arial" w:hAnsi="Arial" w:cs="Arial"/>
          <w:b/>
          <w:sz w:val="28"/>
          <w:szCs w:val="28"/>
        </w:rPr>
        <w:t>42</w:t>
      </w:r>
      <w:r w:rsidR="006C54B9" w:rsidRPr="00A00515">
        <w:rPr>
          <w:rFonts w:ascii="Arial" w:hAnsi="Arial" w:cs="Arial"/>
          <w:b/>
          <w:sz w:val="28"/>
          <w:szCs w:val="28"/>
        </w:rPr>
        <w:t>AB</w:t>
      </w:r>
    </w:p>
    <w:p w:rsidR="003154A2" w:rsidRPr="00A00515" w:rsidRDefault="0081752E" w:rsidP="00A00515">
      <w:pPr>
        <w:spacing w:before="120" w:after="120"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A00515">
        <w:rPr>
          <w:rFonts w:ascii="Arial" w:hAnsi="Arial" w:cs="Arial"/>
          <w:b/>
          <w:sz w:val="26"/>
          <w:szCs w:val="26"/>
        </w:rPr>
        <w:t>C</w:t>
      </w:r>
      <w:r w:rsidR="007E53BE" w:rsidRPr="00A00515">
        <w:rPr>
          <w:rFonts w:ascii="Arial" w:hAnsi="Arial" w:cs="Arial"/>
          <w:b/>
          <w:sz w:val="26"/>
          <w:szCs w:val="26"/>
        </w:rPr>
        <w:t>0</w:t>
      </w:r>
      <w:r w:rsidR="00737BB1" w:rsidRPr="00A00515">
        <w:rPr>
          <w:rFonts w:ascii="Arial" w:hAnsi="Arial" w:cs="Arial"/>
          <w:b/>
          <w:sz w:val="26"/>
          <w:szCs w:val="26"/>
        </w:rPr>
        <w:t>1</w:t>
      </w:r>
      <w:r w:rsidR="007E53BE" w:rsidRPr="00A00515">
        <w:rPr>
          <w:rFonts w:ascii="Arial" w:hAnsi="Arial" w:cs="Arial"/>
          <w:b/>
          <w:sz w:val="26"/>
          <w:szCs w:val="26"/>
        </w:rPr>
        <w:t>.</w:t>
      </w:r>
      <w:r w:rsidRPr="00A00515">
        <w:rPr>
          <w:rFonts w:ascii="Arial" w:hAnsi="Arial" w:cs="Arial"/>
          <w:b/>
          <w:sz w:val="26"/>
          <w:szCs w:val="26"/>
        </w:rPr>
        <w:t>I</w:t>
      </w:r>
      <w:r w:rsidR="007E53BE" w:rsidRPr="00A00515">
        <w:rPr>
          <w:rFonts w:ascii="Arial" w:hAnsi="Arial" w:cs="Arial"/>
          <w:b/>
          <w:sz w:val="26"/>
          <w:szCs w:val="26"/>
        </w:rPr>
        <w:t>0</w:t>
      </w:r>
      <w:r w:rsidRPr="00A00515">
        <w:rPr>
          <w:rFonts w:ascii="Arial" w:hAnsi="Arial" w:cs="Arial"/>
          <w:b/>
          <w:sz w:val="26"/>
          <w:szCs w:val="26"/>
        </w:rPr>
        <w:t xml:space="preserve">2 </w:t>
      </w:r>
      <w:r w:rsidR="00ED3855" w:rsidRPr="00A00515">
        <w:rPr>
          <w:rFonts w:ascii="Arial" w:hAnsi="Arial" w:cs="Arial"/>
          <w:b/>
          <w:sz w:val="26"/>
          <w:szCs w:val="26"/>
        </w:rPr>
        <w:t>PLAN DE INCENTIVOS A LA INSTALACIÓN DE PUNTOS DE RECARGA, A LA ADQUISICIÓN DE VEHÍCULOS ELÉCTRICOS Y DE PILA DE COMBUSTIBLE Y A LA INNOVACIÓN EN ELECTROMOVIL</w:t>
      </w:r>
      <w:r w:rsidR="000F75DF" w:rsidRPr="00A00515">
        <w:rPr>
          <w:rFonts w:ascii="Arial" w:hAnsi="Arial" w:cs="Arial"/>
          <w:b/>
          <w:sz w:val="26"/>
          <w:szCs w:val="26"/>
        </w:rPr>
        <w:t>IDAD, RECARGA E HIDRÓGENO VERDE</w:t>
      </w:r>
    </w:p>
    <w:p w:rsidR="00517824" w:rsidRPr="00517824" w:rsidRDefault="00517824" w:rsidP="00A0051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1. </w:t>
      </w:r>
      <w:r w:rsidR="00ED3855" w:rsidRPr="00517824">
        <w:rPr>
          <w:rFonts w:ascii="Arial" w:hAnsi="Arial" w:cs="Arial"/>
          <w:b/>
          <w:sz w:val="22"/>
          <w:szCs w:val="22"/>
        </w:rPr>
        <w:t>DENOMINACIÓN DEL COMPONENTE</w:t>
      </w:r>
    </w:p>
    <w:p w:rsidR="00517824" w:rsidRPr="00517824" w:rsidRDefault="006C54B9" w:rsidP="00A00515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C54B9">
        <w:rPr>
          <w:rFonts w:ascii="Arial" w:hAnsi="Arial" w:cs="Arial"/>
          <w:sz w:val="22"/>
          <w:szCs w:val="22"/>
        </w:rPr>
        <w:t xml:space="preserve">Plan de choque de movilidad sostenible, segura y conectada en entornos urbanos y metropolitanos. </w:t>
      </w:r>
    </w:p>
    <w:p w:rsidR="00517824" w:rsidRPr="00517824" w:rsidRDefault="00517824" w:rsidP="00A0051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2. </w:t>
      </w:r>
      <w:r w:rsidR="00ED3855" w:rsidRPr="00517824">
        <w:rPr>
          <w:rFonts w:ascii="Arial" w:hAnsi="Arial" w:cs="Arial"/>
          <w:b/>
          <w:sz w:val="22"/>
          <w:szCs w:val="22"/>
        </w:rPr>
        <w:t>DESCRIPCIÓN GENERAL DEL COMPONENTE</w:t>
      </w:r>
    </w:p>
    <w:p w:rsidR="00517824" w:rsidRDefault="008156FE" w:rsidP="00A00515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8156FE">
        <w:rPr>
          <w:rFonts w:ascii="Arial" w:hAnsi="Arial" w:cs="Arial"/>
          <w:sz w:val="22"/>
          <w:szCs w:val="22"/>
        </w:rPr>
        <w:t>Plan de choque de movilidad sostenible, segura y conectada en entornos urbanos y metropolitanos</w:t>
      </w:r>
      <w:r>
        <w:rPr>
          <w:rFonts w:ascii="Arial" w:hAnsi="Arial" w:cs="Arial"/>
          <w:sz w:val="22"/>
          <w:szCs w:val="22"/>
        </w:rPr>
        <w:t>.</w:t>
      </w:r>
    </w:p>
    <w:p w:rsidR="00517824" w:rsidRPr="00517824" w:rsidRDefault="00517824" w:rsidP="00A0051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3. </w:t>
      </w:r>
      <w:r w:rsidR="00ED3855" w:rsidRPr="00517824">
        <w:rPr>
          <w:rFonts w:ascii="Arial" w:hAnsi="Arial" w:cs="Arial"/>
          <w:b/>
          <w:sz w:val="22"/>
          <w:szCs w:val="22"/>
        </w:rPr>
        <w:t>PRINCIPALES OBJETIVOS DEL COMPONENTE</w:t>
      </w:r>
    </w:p>
    <w:p w:rsidR="006C54B9" w:rsidRPr="006C54B9" w:rsidRDefault="006C54B9" w:rsidP="00A00515">
      <w:pPr>
        <w:pStyle w:val="Prrafodelista"/>
        <w:numPr>
          <w:ilvl w:val="0"/>
          <w:numId w:val="9"/>
        </w:numPr>
        <w:spacing w:before="120" w:after="120" w:line="360" w:lineRule="auto"/>
        <w:ind w:hanging="294"/>
        <w:contextualSpacing w:val="0"/>
        <w:jc w:val="both"/>
        <w:rPr>
          <w:rFonts w:ascii="Arial" w:hAnsi="Arial" w:cs="Arial"/>
          <w:sz w:val="22"/>
          <w:szCs w:val="22"/>
        </w:rPr>
      </w:pPr>
      <w:r w:rsidRPr="006C54B9">
        <w:rPr>
          <w:rFonts w:ascii="Arial" w:hAnsi="Arial" w:cs="Arial"/>
          <w:sz w:val="22"/>
          <w:szCs w:val="22"/>
        </w:rPr>
        <w:t>La transformación digital y sostenible del sector del transporte público como verdadera alternativa a la utilización del vehículo privado.</w:t>
      </w:r>
    </w:p>
    <w:p w:rsidR="006C54B9" w:rsidRPr="006C54B9" w:rsidRDefault="006C54B9" w:rsidP="00A00515">
      <w:pPr>
        <w:pStyle w:val="Prrafodelista"/>
        <w:numPr>
          <w:ilvl w:val="0"/>
          <w:numId w:val="9"/>
        </w:numPr>
        <w:spacing w:before="120" w:after="120" w:line="360" w:lineRule="auto"/>
        <w:ind w:hanging="294"/>
        <w:contextualSpacing w:val="0"/>
        <w:jc w:val="both"/>
        <w:rPr>
          <w:rFonts w:ascii="Arial" w:hAnsi="Arial" w:cs="Arial"/>
          <w:sz w:val="22"/>
          <w:szCs w:val="22"/>
        </w:rPr>
      </w:pPr>
      <w:r w:rsidRPr="006C54B9">
        <w:rPr>
          <w:rFonts w:ascii="Arial" w:hAnsi="Arial" w:cs="Arial"/>
          <w:sz w:val="22"/>
          <w:szCs w:val="22"/>
        </w:rPr>
        <w:t>El impulso de inversiones para el fomento de la movilidad activa, así como otras medidas para contribuir a reducir el uso del coche privado (Aparcamientos disuasorios, etc.), contribuyendo al objetivo establecido en el Plan Nacional Integrado de Energía y Clima de cambio modal del 35% de los pasajeros-kilómetro que actualmente se realizan en vehículos privados.</w:t>
      </w:r>
    </w:p>
    <w:p w:rsidR="00517824" w:rsidRPr="006C54B9" w:rsidRDefault="006C54B9" w:rsidP="00A00515">
      <w:pPr>
        <w:pStyle w:val="Prrafodelista"/>
        <w:numPr>
          <w:ilvl w:val="0"/>
          <w:numId w:val="9"/>
        </w:numPr>
        <w:spacing w:before="120" w:after="120" w:line="360" w:lineRule="auto"/>
        <w:ind w:hanging="294"/>
        <w:contextualSpacing w:val="0"/>
        <w:jc w:val="both"/>
        <w:rPr>
          <w:rFonts w:ascii="Arial" w:hAnsi="Arial" w:cs="Arial"/>
          <w:sz w:val="22"/>
          <w:szCs w:val="22"/>
        </w:rPr>
      </w:pPr>
      <w:r w:rsidRPr="006C54B9">
        <w:rPr>
          <w:rFonts w:ascii="Arial" w:hAnsi="Arial" w:cs="Arial"/>
          <w:sz w:val="22"/>
          <w:szCs w:val="22"/>
        </w:rPr>
        <w:t>Facilitar a las administraciones las inversiones necesarias para la provisión de un sistema de transporte público digital y sostenible, así como herramientas de gestión digitales del tráfico y la movilidad.</w:t>
      </w:r>
    </w:p>
    <w:p w:rsidR="006C54B9" w:rsidRPr="006C54B9" w:rsidRDefault="006C54B9" w:rsidP="00A00515">
      <w:pPr>
        <w:pStyle w:val="Prrafodelista"/>
        <w:numPr>
          <w:ilvl w:val="0"/>
          <w:numId w:val="9"/>
        </w:numPr>
        <w:spacing w:before="120" w:after="120" w:line="360" w:lineRule="auto"/>
        <w:ind w:hanging="294"/>
        <w:contextualSpacing w:val="0"/>
        <w:jc w:val="both"/>
        <w:rPr>
          <w:rFonts w:ascii="Arial" w:hAnsi="Arial" w:cs="Arial"/>
          <w:sz w:val="22"/>
          <w:szCs w:val="22"/>
        </w:rPr>
      </w:pPr>
      <w:r w:rsidRPr="006C54B9">
        <w:rPr>
          <w:rFonts w:ascii="Arial" w:hAnsi="Arial" w:cs="Arial"/>
          <w:sz w:val="22"/>
          <w:szCs w:val="22"/>
        </w:rPr>
        <w:t xml:space="preserve">Acelerar la penetración de la movilidad eléctrica, a través de medidas de apoyo para la adquisición de vehículos eléctricos y un plan de puntos de recarga con el apoyo a la adquisición de entre 180.000 y 225.000 vehículos eléctricos </w:t>
      </w:r>
      <w:proofErr w:type="spellStart"/>
      <w:r w:rsidRPr="006C54B9">
        <w:rPr>
          <w:rFonts w:ascii="Arial" w:hAnsi="Arial" w:cs="Arial"/>
          <w:sz w:val="22"/>
          <w:szCs w:val="22"/>
        </w:rPr>
        <w:t>enchufables</w:t>
      </w:r>
      <w:proofErr w:type="spellEnd"/>
      <w:r w:rsidRPr="006C54B9">
        <w:rPr>
          <w:rFonts w:ascii="Arial" w:hAnsi="Arial" w:cs="Arial"/>
          <w:sz w:val="22"/>
          <w:szCs w:val="22"/>
        </w:rPr>
        <w:t xml:space="preserve"> y entre 90.000 y 110.000 nuevos puntos de recarga hasta 2023, con una señal clara de progresiva incorporación continuada a partir de 2023 para cumplir los objetivos de 2030. En concreto, esta actuación contribuye al </w:t>
      </w:r>
      <w:r w:rsidR="00041B42">
        <w:rPr>
          <w:rFonts w:ascii="Arial" w:hAnsi="Arial" w:cs="Arial"/>
          <w:sz w:val="22"/>
          <w:szCs w:val="22"/>
        </w:rPr>
        <w:t>“</w:t>
      </w:r>
      <w:proofErr w:type="spellStart"/>
      <w:r w:rsidRPr="006C54B9">
        <w:rPr>
          <w:rFonts w:ascii="Arial" w:hAnsi="Arial" w:cs="Arial"/>
          <w:sz w:val="22"/>
          <w:szCs w:val="22"/>
        </w:rPr>
        <w:t>flagship</w:t>
      </w:r>
      <w:proofErr w:type="spellEnd"/>
      <w:r w:rsidR="00041B42">
        <w:rPr>
          <w:rFonts w:ascii="Arial" w:hAnsi="Arial" w:cs="Arial"/>
          <w:sz w:val="22"/>
          <w:szCs w:val="22"/>
        </w:rPr>
        <w:t>”</w:t>
      </w:r>
      <w:r w:rsidRPr="006C54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C54B9">
        <w:rPr>
          <w:rFonts w:ascii="Arial" w:hAnsi="Arial" w:cs="Arial"/>
          <w:sz w:val="22"/>
          <w:szCs w:val="22"/>
        </w:rPr>
        <w:t>Recharge</w:t>
      </w:r>
      <w:proofErr w:type="spellEnd"/>
      <w:r w:rsidRPr="006C54B9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Pr="006C54B9">
        <w:rPr>
          <w:rFonts w:ascii="Arial" w:hAnsi="Arial" w:cs="Arial"/>
          <w:sz w:val="22"/>
          <w:szCs w:val="22"/>
        </w:rPr>
        <w:t>Refuel</w:t>
      </w:r>
      <w:proofErr w:type="spellEnd"/>
      <w:r w:rsidRPr="006C54B9">
        <w:rPr>
          <w:rFonts w:ascii="Arial" w:hAnsi="Arial" w:cs="Arial"/>
          <w:sz w:val="22"/>
          <w:szCs w:val="22"/>
        </w:rPr>
        <w:t>, contribuyendo mediante una combinación de medidas normativas o reformas, inversiones y señales claras a corto, medio y largo plazo, al despliegue de infraestructura de recarga en el país y la Unión.</w:t>
      </w:r>
    </w:p>
    <w:p w:rsidR="00517824" w:rsidRPr="00517824" w:rsidRDefault="00517824" w:rsidP="00A0051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lastRenderedPageBreak/>
        <w:t xml:space="preserve">4. </w:t>
      </w:r>
      <w:r w:rsidR="00ED3855" w:rsidRPr="00517824">
        <w:rPr>
          <w:rFonts w:ascii="Arial" w:hAnsi="Arial" w:cs="Arial"/>
          <w:b/>
          <w:sz w:val="22"/>
          <w:szCs w:val="22"/>
        </w:rPr>
        <w:t>DESCRIPCIÓN DE LA INVERSIÓN</w:t>
      </w:r>
    </w:p>
    <w:p w:rsidR="00F77318" w:rsidRPr="00F77318" w:rsidRDefault="00F77318" w:rsidP="00A00515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77318">
        <w:rPr>
          <w:rFonts w:ascii="Arial" w:hAnsi="Arial" w:cs="Arial"/>
          <w:sz w:val="22"/>
          <w:szCs w:val="22"/>
        </w:rPr>
        <w:t xml:space="preserve">El programa 42AB “C01.I02 Plan de incentivos a la instalación de puntos de recarga, a la adquisición de vehículos eléctricos y de pila de combustible y a la innovación en </w:t>
      </w:r>
      <w:proofErr w:type="spellStart"/>
      <w:r w:rsidRPr="00F77318">
        <w:rPr>
          <w:rFonts w:ascii="Arial" w:hAnsi="Arial" w:cs="Arial"/>
          <w:sz w:val="22"/>
          <w:szCs w:val="22"/>
        </w:rPr>
        <w:t>electromovilidad</w:t>
      </w:r>
      <w:proofErr w:type="spellEnd"/>
      <w:r w:rsidRPr="00F77318">
        <w:rPr>
          <w:rFonts w:ascii="Arial" w:hAnsi="Arial" w:cs="Arial"/>
          <w:sz w:val="22"/>
          <w:szCs w:val="22"/>
        </w:rPr>
        <w:t>, recarga e hidrógeno verde” asume diversas líneas de actuación para la realización de inversiones y/o ayudas en materia de Transición Energética dentro de las competencias de la Secretaría de Estado de Energía, de forma coordinada del Instituto para la Diversificación y Ahorro de la Energía (IDAE).</w:t>
      </w:r>
    </w:p>
    <w:p w:rsidR="00F77318" w:rsidRPr="00F77318" w:rsidRDefault="00F77318" w:rsidP="00A00515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77318">
        <w:rPr>
          <w:rFonts w:ascii="Arial" w:hAnsi="Arial" w:cs="Arial"/>
          <w:sz w:val="22"/>
          <w:szCs w:val="22"/>
        </w:rPr>
        <w:t xml:space="preserve">La movilización de estos fondos se realizará bien a través de actuaciones de ayudas y subvenciones a fondo perdido o bien mediante inversiones financieras, en función de las características y necesidades. </w:t>
      </w:r>
    </w:p>
    <w:p w:rsidR="00F77318" w:rsidRPr="00F77318" w:rsidRDefault="00F77318" w:rsidP="00A00515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77318">
        <w:rPr>
          <w:rFonts w:ascii="Arial" w:hAnsi="Arial" w:cs="Arial"/>
          <w:sz w:val="22"/>
          <w:szCs w:val="22"/>
        </w:rPr>
        <w:t>En todo caso, las actuaciones estarán en relación directa la movilidad eficiente y sostenible.</w:t>
      </w:r>
    </w:p>
    <w:p w:rsidR="00F77318" w:rsidRDefault="00F77318" w:rsidP="00A00515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77318">
        <w:rPr>
          <w:rFonts w:ascii="Arial" w:hAnsi="Arial" w:cs="Arial"/>
          <w:sz w:val="22"/>
          <w:szCs w:val="22"/>
        </w:rPr>
        <w:t xml:space="preserve">Con ello se pretende implementar las medidas prevista en el PNIEC para la gestión de incentivos públicos y el dar cumplimiento a los objetivos establecidos para el 2030: eficiencia energética, </w:t>
      </w:r>
      <w:proofErr w:type="spellStart"/>
      <w:r w:rsidRPr="00F77318">
        <w:rPr>
          <w:rFonts w:ascii="Arial" w:hAnsi="Arial" w:cs="Arial"/>
          <w:sz w:val="22"/>
          <w:szCs w:val="22"/>
        </w:rPr>
        <w:t>descarbonización</w:t>
      </w:r>
      <w:proofErr w:type="spellEnd"/>
      <w:r w:rsidRPr="00F77318">
        <w:rPr>
          <w:rFonts w:ascii="Arial" w:hAnsi="Arial" w:cs="Arial"/>
          <w:sz w:val="22"/>
          <w:szCs w:val="22"/>
        </w:rPr>
        <w:t xml:space="preserve"> y energías renovables.</w:t>
      </w:r>
    </w:p>
    <w:p w:rsidR="00517824" w:rsidRPr="00517824" w:rsidRDefault="00517824" w:rsidP="00A0051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5. </w:t>
      </w:r>
      <w:r w:rsidR="00ED3855" w:rsidRPr="00517824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:rsidR="0056762A" w:rsidRPr="00A00515" w:rsidRDefault="0056762A" w:rsidP="00A00515">
      <w:pPr>
        <w:spacing w:before="100"/>
        <w:ind w:right="141"/>
        <w:jc w:val="right"/>
        <w:rPr>
          <w:rFonts w:ascii="Arial" w:hAnsi="Arial" w:cs="Arial"/>
          <w:b/>
          <w:sz w:val="18"/>
          <w:szCs w:val="18"/>
        </w:rPr>
      </w:pPr>
      <w:r w:rsidRPr="00A00515">
        <w:rPr>
          <w:rFonts w:ascii="Arial" w:hAnsi="Arial" w:cs="Arial"/>
          <w:b/>
          <w:sz w:val="18"/>
          <w:szCs w:val="18"/>
        </w:rPr>
        <w:t>(</w:t>
      </w:r>
      <w:r w:rsidR="00417EDD">
        <w:rPr>
          <w:rFonts w:ascii="Arial" w:hAnsi="Arial" w:cs="Arial"/>
          <w:b/>
          <w:sz w:val="18"/>
          <w:szCs w:val="18"/>
        </w:rPr>
        <w:t>M</w:t>
      </w:r>
      <w:r w:rsidRPr="00A00515">
        <w:rPr>
          <w:rFonts w:ascii="Arial" w:hAnsi="Arial" w:cs="Arial"/>
          <w:b/>
          <w:sz w:val="18"/>
          <w:szCs w:val="18"/>
        </w:rPr>
        <w:t>iles de euros)</w:t>
      </w:r>
    </w:p>
    <w:tbl>
      <w:tblPr>
        <w:tblStyle w:val="Tablaconcuadrcula"/>
        <w:tblW w:w="8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247"/>
        <w:gridCol w:w="835"/>
        <w:gridCol w:w="872"/>
        <w:gridCol w:w="726"/>
        <w:gridCol w:w="799"/>
        <w:gridCol w:w="799"/>
        <w:gridCol w:w="800"/>
        <w:gridCol w:w="773"/>
        <w:gridCol w:w="1065"/>
      </w:tblGrid>
      <w:tr w:rsidR="00517824" w:rsidRPr="00A00515" w:rsidTr="00377C8E">
        <w:trPr>
          <w:trHeight w:val="337"/>
          <w:tblHeader/>
          <w:jc w:val="center"/>
        </w:trPr>
        <w:tc>
          <w:tcPr>
            <w:tcW w:w="2247" w:type="dxa"/>
            <w:vAlign w:val="center"/>
          </w:tcPr>
          <w:p w:rsidR="00517824" w:rsidRPr="00A00515" w:rsidRDefault="00517824" w:rsidP="00A00515">
            <w:pPr>
              <w:spacing w:before="120" w:after="120"/>
              <w:ind w:left="31"/>
              <w:jc w:val="center"/>
              <w:rPr>
                <w:rFonts w:ascii="Arial" w:hAnsi="Arial" w:cs="Arial"/>
                <w:b/>
                <w:caps/>
                <w:sz w:val="18"/>
                <w:szCs w:val="18"/>
              </w:rPr>
            </w:pPr>
            <w:r w:rsidRPr="00A00515">
              <w:rPr>
                <w:rFonts w:ascii="Arial" w:hAnsi="Arial" w:cs="Arial"/>
                <w:b/>
                <w:caps/>
                <w:sz w:val="18"/>
                <w:szCs w:val="18"/>
              </w:rPr>
              <w:t>Periodificación</w:t>
            </w:r>
          </w:p>
        </w:tc>
        <w:tc>
          <w:tcPr>
            <w:tcW w:w="835" w:type="dxa"/>
            <w:vAlign w:val="center"/>
          </w:tcPr>
          <w:p w:rsidR="00517824" w:rsidRPr="00A00515" w:rsidRDefault="00517824" w:rsidP="00A00515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00515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872" w:type="dxa"/>
            <w:vAlign w:val="center"/>
          </w:tcPr>
          <w:p w:rsidR="00517824" w:rsidRPr="00A00515" w:rsidRDefault="00517824" w:rsidP="00A00515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00515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726" w:type="dxa"/>
            <w:vAlign w:val="center"/>
          </w:tcPr>
          <w:p w:rsidR="00517824" w:rsidRPr="00A00515" w:rsidRDefault="00517824" w:rsidP="00A00515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00515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799" w:type="dxa"/>
            <w:vAlign w:val="center"/>
          </w:tcPr>
          <w:p w:rsidR="00517824" w:rsidRPr="00A00515" w:rsidRDefault="00517824" w:rsidP="00A00515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00515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799" w:type="dxa"/>
            <w:vAlign w:val="center"/>
          </w:tcPr>
          <w:p w:rsidR="00517824" w:rsidRPr="00A00515" w:rsidRDefault="00517824" w:rsidP="00A00515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00515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800" w:type="dxa"/>
            <w:vAlign w:val="center"/>
          </w:tcPr>
          <w:p w:rsidR="00517824" w:rsidRPr="00A00515" w:rsidRDefault="00517824" w:rsidP="00A00515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00515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773" w:type="dxa"/>
            <w:vAlign w:val="center"/>
          </w:tcPr>
          <w:p w:rsidR="00517824" w:rsidRPr="00A00515" w:rsidRDefault="00517824" w:rsidP="00A00515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00515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1065" w:type="dxa"/>
            <w:vAlign w:val="center"/>
          </w:tcPr>
          <w:p w:rsidR="00517824" w:rsidRPr="00A00515" w:rsidRDefault="00517824" w:rsidP="00A00515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00515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517824" w:rsidRPr="00A00515" w:rsidTr="00377C8E">
        <w:trPr>
          <w:trHeight w:hRule="exact" w:val="340"/>
          <w:jc w:val="center"/>
        </w:trPr>
        <w:tc>
          <w:tcPr>
            <w:tcW w:w="2247" w:type="dxa"/>
            <w:vAlign w:val="center"/>
          </w:tcPr>
          <w:p w:rsidR="00517824" w:rsidRPr="00A00515" w:rsidRDefault="00517824" w:rsidP="00A00515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 w:rsidRPr="00A00515">
              <w:rPr>
                <w:rFonts w:ascii="Arial" w:hAnsi="Arial" w:cs="Arial"/>
                <w:sz w:val="18"/>
                <w:szCs w:val="18"/>
              </w:rPr>
              <w:t>Coste del Mecanismo</w:t>
            </w:r>
          </w:p>
        </w:tc>
        <w:tc>
          <w:tcPr>
            <w:tcW w:w="835" w:type="dxa"/>
            <w:vAlign w:val="center"/>
          </w:tcPr>
          <w:p w:rsidR="00517824" w:rsidRPr="00377C8E" w:rsidRDefault="006C54B9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sz w:val="16"/>
                <w:szCs w:val="18"/>
              </w:rPr>
            </w:pPr>
            <w:r w:rsidRPr="00377C8E">
              <w:rPr>
                <w:rFonts w:ascii="Arial" w:hAnsi="Arial" w:cs="Arial"/>
                <w:sz w:val="16"/>
                <w:szCs w:val="18"/>
              </w:rPr>
              <w:t>115.000</w:t>
            </w:r>
          </w:p>
        </w:tc>
        <w:tc>
          <w:tcPr>
            <w:tcW w:w="872" w:type="dxa"/>
            <w:vAlign w:val="center"/>
          </w:tcPr>
          <w:p w:rsidR="00517824" w:rsidRPr="00377C8E" w:rsidRDefault="006C54B9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6"/>
                <w:szCs w:val="18"/>
              </w:rPr>
            </w:pPr>
            <w:r w:rsidRPr="00377C8E">
              <w:rPr>
                <w:rFonts w:ascii="Arial" w:hAnsi="Arial" w:cs="Arial"/>
                <w:noProof/>
                <w:sz w:val="16"/>
                <w:szCs w:val="18"/>
              </w:rPr>
              <w:t>1.100.000</w:t>
            </w:r>
          </w:p>
        </w:tc>
        <w:tc>
          <w:tcPr>
            <w:tcW w:w="726" w:type="dxa"/>
            <w:vAlign w:val="center"/>
          </w:tcPr>
          <w:p w:rsidR="00517824" w:rsidRPr="00377C8E" w:rsidRDefault="006C54B9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6"/>
                <w:szCs w:val="18"/>
              </w:rPr>
            </w:pPr>
            <w:r w:rsidRPr="00377C8E">
              <w:rPr>
                <w:rFonts w:ascii="Arial" w:hAnsi="Arial" w:cs="Arial"/>
                <w:noProof/>
                <w:sz w:val="16"/>
                <w:szCs w:val="18"/>
              </w:rPr>
              <w:t>445</w:t>
            </w:r>
            <w:r w:rsidR="00646918" w:rsidRPr="00377C8E">
              <w:rPr>
                <w:rFonts w:ascii="Arial" w:hAnsi="Arial" w:cs="Arial"/>
                <w:noProof/>
                <w:sz w:val="16"/>
                <w:szCs w:val="18"/>
              </w:rPr>
              <w:t>.000</w:t>
            </w:r>
          </w:p>
        </w:tc>
        <w:tc>
          <w:tcPr>
            <w:tcW w:w="799" w:type="dxa"/>
            <w:vAlign w:val="center"/>
          </w:tcPr>
          <w:p w:rsidR="00517824" w:rsidRPr="00377C8E" w:rsidRDefault="00F77318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6"/>
                <w:szCs w:val="18"/>
              </w:rPr>
            </w:pPr>
            <w:r w:rsidRPr="00377C8E">
              <w:rPr>
                <w:rFonts w:ascii="Arial" w:hAnsi="Arial" w:cs="Arial"/>
                <w:noProof/>
                <w:sz w:val="16"/>
                <w:szCs w:val="18"/>
              </w:rPr>
              <w:t>340</w:t>
            </w:r>
            <w:r w:rsidR="00646918" w:rsidRPr="00377C8E">
              <w:rPr>
                <w:rFonts w:ascii="Arial" w:hAnsi="Arial" w:cs="Arial"/>
                <w:noProof/>
                <w:sz w:val="16"/>
                <w:szCs w:val="18"/>
              </w:rPr>
              <w:t>.000</w:t>
            </w:r>
          </w:p>
        </w:tc>
        <w:tc>
          <w:tcPr>
            <w:tcW w:w="799" w:type="dxa"/>
            <w:vAlign w:val="center"/>
          </w:tcPr>
          <w:p w:rsidR="00517824" w:rsidRPr="00377C8E" w:rsidRDefault="00517824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6"/>
                <w:szCs w:val="18"/>
              </w:rPr>
            </w:pPr>
          </w:p>
        </w:tc>
        <w:tc>
          <w:tcPr>
            <w:tcW w:w="800" w:type="dxa"/>
            <w:vAlign w:val="center"/>
          </w:tcPr>
          <w:p w:rsidR="00517824" w:rsidRPr="00377C8E" w:rsidRDefault="00517824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6"/>
                <w:szCs w:val="18"/>
              </w:rPr>
            </w:pPr>
          </w:p>
        </w:tc>
        <w:tc>
          <w:tcPr>
            <w:tcW w:w="773" w:type="dxa"/>
            <w:vAlign w:val="center"/>
          </w:tcPr>
          <w:p w:rsidR="00517824" w:rsidRPr="00377C8E" w:rsidRDefault="00517824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6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517824" w:rsidRPr="00377C8E" w:rsidRDefault="00F77318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6"/>
                <w:szCs w:val="18"/>
              </w:rPr>
            </w:pPr>
            <w:r w:rsidRPr="00377C8E">
              <w:rPr>
                <w:rFonts w:ascii="Arial" w:hAnsi="Arial" w:cs="Arial"/>
                <w:b/>
                <w:noProof/>
                <w:sz w:val="16"/>
                <w:szCs w:val="18"/>
              </w:rPr>
              <w:t>2.000</w:t>
            </w:r>
            <w:r w:rsidR="00646918" w:rsidRPr="00377C8E">
              <w:rPr>
                <w:rFonts w:ascii="Arial" w:hAnsi="Arial" w:cs="Arial"/>
                <w:b/>
                <w:noProof/>
                <w:sz w:val="16"/>
                <w:szCs w:val="18"/>
              </w:rPr>
              <w:t>.000</w:t>
            </w:r>
          </w:p>
        </w:tc>
      </w:tr>
      <w:tr w:rsidR="00517824" w:rsidRPr="00A00515" w:rsidTr="00377C8E">
        <w:trPr>
          <w:trHeight w:hRule="exact" w:val="340"/>
          <w:jc w:val="center"/>
        </w:trPr>
        <w:tc>
          <w:tcPr>
            <w:tcW w:w="2247" w:type="dxa"/>
            <w:vAlign w:val="center"/>
          </w:tcPr>
          <w:p w:rsidR="00517824" w:rsidRPr="00A00515" w:rsidRDefault="00517824" w:rsidP="00A00515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 w:rsidRPr="00A00515">
              <w:rPr>
                <w:rFonts w:ascii="Arial" w:hAnsi="Arial" w:cs="Arial"/>
                <w:sz w:val="18"/>
                <w:szCs w:val="18"/>
              </w:rPr>
              <w:t>Otra financiación</w:t>
            </w:r>
          </w:p>
        </w:tc>
        <w:tc>
          <w:tcPr>
            <w:tcW w:w="835" w:type="dxa"/>
            <w:vAlign w:val="center"/>
          </w:tcPr>
          <w:p w:rsidR="00517824" w:rsidRPr="00377C8E" w:rsidRDefault="00517824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6"/>
                <w:szCs w:val="18"/>
              </w:rPr>
            </w:pPr>
          </w:p>
        </w:tc>
        <w:tc>
          <w:tcPr>
            <w:tcW w:w="872" w:type="dxa"/>
            <w:vAlign w:val="center"/>
          </w:tcPr>
          <w:p w:rsidR="00517824" w:rsidRPr="00377C8E" w:rsidRDefault="00517824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6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517824" w:rsidRPr="00377C8E" w:rsidRDefault="00517824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6"/>
                <w:szCs w:val="18"/>
              </w:rPr>
            </w:pPr>
          </w:p>
        </w:tc>
        <w:tc>
          <w:tcPr>
            <w:tcW w:w="799" w:type="dxa"/>
            <w:vAlign w:val="center"/>
          </w:tcPr>
          <w:p w:rsidR="00517824" w:rsidRPr="00377C8E" w:rsidRDefault="00517824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6"/>
                <w:szCs w:val="18"/>
              </w:rPr>
            </w:pPr>
            <w:bookmarkStart w:id="0" w:name="_GoBack"/>
            <w:bookmarkEnd w:id="0"/>
          </w:p>
        </w:tc>
        <w:tc>
          <w:tcPr>
            <w:tcW w:w="799" w:type="dxa"/>
            <w:vAlign w:val="center"/>
          </w:tcPr>
          <w:p w:rsidR="00517824" w:rsidRPr="00377C8E" w:rsidRDefault="00517824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6"/>
                <w:szCs w:val="18"/>
              </w:rPr>
            </w:pPr>
          </w:p>
        </w:tc>
        <w:tc>
          <w:tcPr>
            <w:tcW w:w="800" w:type="dxa"/>
            <w:vAlign w:val="center"/>
          </w:tcPr>
          <w:p w:rsidR="00517824" w:rsidRPr="00377C8E" w:rsidRDefault="00517824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6"/>
                <w:szCs w:val="18"/>
              </w:rPr>
            </w:pPr>
          </w:p>
        </w:tc>
        <w:tc>
          <w:tcPr>
            <w:tcW w:w="773" w:type="dxa"/>
            <w:vAlign w:val="center"/>
          </w:tcPr>
          <w:p w:rsidR="00517824" w:rsidRPr="00377C8E" w:rsidRDefault="00517824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6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517824" w:rsidRPr="00377C8E" w:rsidRDefault="00517824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6"/>
                <w:szCs w:val="18"/>
              </w:rPr>
            </w:pPr>
          </w:p>
        </w:tc>
      </w:tr>
      <w:tr w:rsidR="00517824" w:rsidRPr="00A00515" w:rsidTr="00377C8E">
        <w:trPr>
          <w:trHeight w:hRule="exact" w:val="340"/>
          <w:jc w:val="center"/>
        </w:trPr>
        <w:tc>
          <w:tcPr>
            <w:tcW w:w="2247" w:type="dxa"/>
            <w:vAlign w:val="center"/>
          </w:tcPr>
          <w:p w:rsidR="00517824" w:rsidRPr="00A00515" w:rsidRDefault="00517824" w:rsidP="00A00515">
            <w:pPr>
              <w:spacing w:before="60" w:after="6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A00515">
              <w:rPr>
                <w:rFonts w:ascii="Arial" w:hAnsi="Arial" w:cs="Arial"/>
                <w:b/>
                <w:sz w:val="18"/>
                <w:szCs w:val="18"/>
              </w:rPr>
              <w:t>Total</w:t>
            </w:r>
            <w:r w:rsidR="005570AD" w:rsidRPr="00A0051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35" w:type="dxa"/>
            <w:vAlign w:val="center"/>
          </w:tcPr>
          <w:p w:rsidR="00517824" w:rsidRPr="00377C8E" w:rsidRDefault="00E5692D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6"/>
                <w:szCs w:val="18"/>
              </w:rPr>
            </w:pPr>
            <w:r w:rsidRPr="00377C8E">
              <w:rPr>
                <w:rFonts w:ascii="Arial" w:hAnsi="Arial" w:cs="Arial"/>
                <w:b/>
                <w:noProof/>
                <w:sz w:val="16"/>
                <w:szCs w:val="18"/>
              </w:rPr>
              <w:t>115.000</w:t>
            </w:r>
          </w:p>
        </w:tc>
        <w:tc>
          <w:tcPr>
            <w:tcW w:w="872" w:type="dxa"/>
            <w:vAlign w:val="center"/>
          </w:tcPr>
          <w:p w:rsidR="00517824" w:rsidRPr="00377C8E" w:rsidRDefault="00E5692D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6"/>
                <w:szCs w:val="18"/>
              </w:rPr>
            </w:pPr>
            <w:r w:rsidRPr="00377C8E">
              <w:rPr>
                <w:rFonts w:ascii="Arial" w:hAnsi="Arial" w:cs="Arial"/>
                <w:b/>
                <w:noProof/>
                <w:sz w:val="16"/>
                <w:szCs w:val="18"/>
              </w:rPr>
              <w:t>1.100.000</w:t>
            </w:r>
          </w:p>
        </w:tc>
        <w:tc>
          <w:tcPr>
            <w:tcW w:w="726" w:type="dxa"/>
            <w:vAlign w:val="center"/>
          </w:tcPr>
          <w:p w:rsidR="00517824" w:rsidRPr="00377C8E" w:rsidRDefault="00E5692D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6"/>
                <w:szCs w:val="18"/>
              </w:rPr>
            </w:pPr>
            <w:r w:rsidRPr="00377C8E">
              <w:rPr>
                <w:rFonts w:ascii="Arial" w:hAnsi="Arial" w:cs="Arial"/>
                <w:b/>
                <w:noProof/>
                <w:sz w:val="16"/>
                <w:szCs w:val="18"/>
              </w:rPr>
              <w:t>445.000</w:t>
            </w:r>
          </w:p>
        </w:tc>
        <w:tc>
          <w:tcPr>
            <w:tcW w:w="799" w:type="dxa"/>
            <w:vAlign w:val="center"/>
          </w:tcPr>
          <w:p w:rsidR="00517824" w:rsidRPr="00377C8E" w:rsidRDefault="00E5692D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6"/>
                <w:szCs w:val="18"/>
              </w:rPr>
            </w:pPr>
            <w:r w:rsidRPr="00377C8E">
              <w:rPr>
                <w:rFonts w:ascii="Arial" w:hAnsi="Arial" w:cs="Arial"/>
                <w:b/>
                <w:noProof/>
                <w:sz w:val="16"/>
                <w:szCs w:val="18"/>
              </w:rPr>
              <w:t>340.000</w:t>
            </w:r>
          </w:p>
        </w:tc>
        <w:tc>
          <w:tcPr>
            <w:tcW w:w="799" w:type="dxa"/>
            <w:vAlign w:val="center"/>
          </w:tcPr>
          <w:p w:rsidR="00517824" w:rsidRPr="00377C8E" w:rsidRDefault="00517824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6"/>
                <w:szCs w:val="18"/>
              </w:rPr>
            </w:pPr>
          </w:p>
        </w:tc>
        <w:tc>
          <w:tcPr>
            <w:tcW w:w="800" w:type="dxa"/>
            <w:vAlign w:val="center"/>
          </w:tcPr>
          <w:p w:rsidR="00517824" w:rsidRPr="00377C8E" w:rsidRDefault="00517824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6"/>
                <w:szCs w:val="18"/>
              </w:rPr>
            </w:pPr>
          </w:p>
        </w:tc>
        <w:tc>
          <w:tcPr>
            <w:tcW w:w="773" w:type="dxa"/>
            <w:vAlign w:val="center"/>
          </w:tcPr>
          <w:p w:rsidR="00517824" w:rsidRPr="00377C8E" w:rsidRDefault="00517824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6"/>
                <w:szCs w:val="18"/>
              </w:rPr>
            </w:pPr>
          </w:p>
        </w:tc>
        <w:tc>
          <w:tcPr>
            <w:tcW w:w="1065" w:type="dxa"/>
            <w:vAlign w:val="center"/>
          </w:tcPr>
          <w:p w:rsidR="00517824" w:rsidRPr="00377C8E" w:rsidRDefault="00E5692D" w:rsidP="00A00515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6"/>
                <w:szCs w:val="18"/>
              </w:rPr>
            </w:pPr>
            <w:r w:rsidRPr="00377C8E">
              <w:rPr>
                <w:rFonts w:ascii="Arial" w:hAnsi="Arial" w:cs="Arial"/>
                <w:b/>
                <w:noProof/>
                <w:sz w:val="16"/>
                <w:szCs w:val="18"/>
              </w:rPr>
              <w:t>2.000.000</w:t>
            </w:r>
          </w:p>
        </w:tc>
      </w:tr>
    </w:tbl>
    <w:p w:rsidR="00517824" w:rsidRPr="00517824" w:rsidRDefault="00517824" w:rsidP="00A00515">
      <w:pPr>
        <w:spacing w:before="24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6. </w:t>
      </w:r>
      <w:r w:rsidR="00ED3855" w:rsidRPr="00517824">
        <w:rPr>
          <w:rFonts w:ascii="Arial" w:hAnsi="Arial" w:cs="Arial"/>
          <w:b/>
          <w:sz w:val="22"/>
          <w:szCs w:val="22"/>
        </w:rPr>
        <w:t xml:space="preserve">HITOS Y OBJETIVOS DE LA INVERSIÓN </w:t>
      </w:r>
    </w:p>
    <w:p w:rsidR="008B3CA0" w:rsidRPr="00F77318" w:rsidRDefault="00F77318" w:rsidP="00A00515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F77318">
        <w:rPr>
          <w:rFonts w:ascii="Arial" w:hAnsi="Arial" w:cs="Arial"/>
          <w:sz w:val="22"/>
          <w:szCs w:val="22"/>
        </w:rPr>
        <w:t>e plantea</w:t>
      </w:r>
      <w:r>
        <w:rPr>
          <w:rFonts w:ascii="Arial" w:hAnsi="Arial" w:cs="Arial"/>
          <w:sz w:val="22"/>
          <w:szCs w:val="22"/>
        </w:rPr>
        <w:t xml:space="preserve"> como actuaciones la m</w:t>
      </w:r>
      <w:r w:rsidRPr="00F77318">
        <w:rPr>
          <w:rFonts w:ascii="Arial" w:hAnsi="Arial" w:cs="Arial"/>
          <w:sz w:val="22"/>
          <w:szCs w:val="22"/>
        </w:rPr>
        <w:t xml:space="preserve">ovilidad </w:t>
      </w:r>
      <w:r>
        <w:rPr>
          <w:rFonts w:ascii="Arial" w:hAnsi="Arial" w:cs="Arial"/>
          <w:sz w:val="22"/>
          <w:szCs w:val="22"/>
        </w:rPr>
        <w:t>e</w:t>
      </w:r>
      <w:r w:rsidRPr="00F77318">
        <w:rPr>
          <w:rFonts w:ascii="Arial" w:hAnsi="Arial" w:cs="Arial"/>
          <w:sz w:val="22"/>
          <w:szCs w:val="22"/>
        </w:rPr>
        <w:t>léctrica</w:t>
      </w:r>
      <w:r>
        <w:rPr>
          <w:rFonts w:ascii="Arial" w:hAnsi="Arial" w:cs="Arial"/>
          <w:sz w:val="22"/>
          <w:szCs w:val="22"/>
        </w:rPr>
        <w:t>, a</w:t>
      </w:r>
      <w:r w:rsidRPr="00F77318">
        <w:rPr>
          <w:rFonts w:ascii="Arial" w:hAnsi="Arial" w:cs="Arial"/>
          <w:sz w:val="22"/>
          <w:szCs w:val="22"/>
        </w:rPr>
        <w:t xml:space="preserve">ctuando en la implantación de las infraestructuras de recarga, en la renovación del parque de vehículos y en actuaciones de </w:t>
      </w:r>
      <w:proofErr w:type="spellStart"/>
      <w:r w:rsidRPr="00F77318">
        <w:rPr>
          <w:rFonts w:ascii="Arial" w:hAnsi="Arial" w:cs="Arial"/>
          <w:sz w:val="22"/>
          <w:szCs w:val="22"/>
        </w:rPr>
        <w:t>electromovilidad</w:t>
      </w:r>
      <w:proofErr w:type="spellEnd"/>
      <w:r w:rsidRPr="00F77318">
        <w:rPr>
          <w:rFonts w:ascii="Arial" w:hAnsi="Arial" w:cs="Arial"/>
          <w:sz w:val="22"/>
          <w:szCs w:val="22"/>
        </w:rPr>
        <w:t>. La ayuda a otorgar dependerá del tipo de beneficiario y será la máxima que permita la normativa sobre ayudas de Estado, primándose, en la medida de lo posible, el achatarramiento de vehículos convencionales. Esta actuación se corresponde con el “</w:t>
      </w:r>
      <w:proofErr w:type="spellStart"/>
      <w:r w:rsidRPr="00F77318">
        <w:rPr>
          <w:rFonts w:ascii="Arial" w:hAnsi="Arial" w:cs="Arial"/>
          <w:sz w:val="22"/>
          <w:szCs w:val="22"/>
        </w:rPr>
        <w:t>flagship</w:t>
      </w:r>
      <w:proofErr w:type="spellEnd"/>
      <w:r w:rsidRPr="00F77318">
        <w:rPr>
          <w:rFonts w:ascii="Arial" w:hAnsi="Arial" w:cs="Arial"/>
          <w:sz w:val="22"/>
          <w:szCs w:val="22"/>
        </w:rPr>
        <w:t>” o iniciativa bandera número 3 identificada en el Marco de Recuperación y Resiliencia, ligada al despliegue masivo de infraestructura de recarga.</w:t>
      </w:r>
    </w:p>
    <w:sectPr w:rsidR="008B3CA0" w:rsidRPr="00F77318" w:rsidSect="00A00515">
      <w:pgSz w:w="11907" w:h="16840"/>
      <w:pgMar w:top="1985" w:right="1134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0949E2"/>
    <w:multiLevelType w:val="hybridMultilevel"/>
    <w:tmpl w:val="74FA25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11B63"/>
    <w:multiLevelType w:val="hybridMultilevel"/>
    <w:tmpl w:val="ABF082FA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156E09"/>
    <w:multiLevelType w:val="hybridMultilevel"/>
    <w:tmpl w:val="1AA6C46C"/>
    <w:lvl w:ilvl="0" w:tplc="3C62EF1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0C04A0"/>
    <w:multiLevelType w:val="hybridMultilevel"/>
    <w:tmpl w:val="1F14AE22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779FD"/>
    <w:multiLevelType w:val="hybridMultilevel"/>
    <w:tmpl w:val="63FAC3CC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C9300A"/>
    <w:multiLevelType w:val="hybridMultilevel"/>
    <w:tmpl w:val="76CE4A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8"/>
  </w:num>
  <w:num w:numId="6">
    <w:abstractNumId w:val="3"/>
  </w:num>
  <w:num w:numId="7">
    <w:abstractNumId w:val="4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41B42"/>
    <w:rsid w:val="00062AE0"/>
    <w:rsid w:val="00080CFF"/>
    <w:rsid w:val="00092A6A"/>
    <w:rsid w:val="000A1311"/>
    <w:rsid w:val="000C68A4"/>
    <w:rsid w:val="000F3FBB"/>
    <w:rsid w:val="000F75DF"/>
    <w:rsid w:val="001A5F87"/>
    <w:rsid w:val="001A7982"/>
    <w:rsid w:val="001B34B9"/>
    <w:rsid w:val="001C6311"/>
    <w:rsid w:val="002F0C59"/>
    <w:rsid w:val="003154A2"/>
    <w:rsid w:val="003208C4"/>
    <w:rsid w:val="00343745"/>
    <w:rsid w:val="00377C8E"/>
    <w:rsid w:val="00382F6E"/>
    <w:rsid w:val="003A7E9B"/>
    <w:rsid w:val="003D56D8"/>
    <w:rsid w:val="00417EDD"/>
    <w:rsid w:val="0046397C"/>
    <w:rsid w:val="0048778B"/>
    <w:rsid w:val="00517824"/>
    <w:rsid w:val="005570AD"/>
    <w:rsid w:val="00564761"/>
    <w:rsid w:val="0056762A"/>
    <w:rsid w:val="005B477A"/>
    <w:rsid w:val="005C4BF4"/>
    <w:rsid w:val="00646918"/>
    <w:rsid w:val="006C54B9"/>
    <w:rsid w:val="006F018F"/>
    <w:rsid w:val="006F272A"/>
    <w:rsid w:val="0070353F"/>
    <w:rsid w:val="00737BB1"/>
    <w:rsid w:val="007B6373"/>
    <w:rsid w:val="007E37FC"/>
    <w:rsid w:val="007E53BE"/>
    <w:rsid w:val="007F3B1F"/>
    <w:rsid w:val="008076C5"/>
    <w:rsid w:val="008156FE"/>
    <w:rsid w:val="0081752E"/>
    <w:rsid w:val="008476C0"/>
    <w:rsid w:val="008620A4"/>
    <w:rsid w:val="008915DD"/>
    <w:rsid w:val="008A4AF5"/>
    <w:rsid w:val="008B3CA0"/>
    <w:rsid w:val="008B6C42"/>
    <w:rsid w:val="008C74C0"/>
    <w:rsid w:val="008D6462"/>
    <w:rsid w:val="008F0C79"/>
    <w:rsid w:val="0093453B"/>
    <w:rsid w:val="00952F88"/>
    <w:rsid w:val="00977CA7"/>
    <w:rsid w:val="00991697"/>
    <w:rsid w:val="009A64D7"/>
    <w:rsid w:val="009A7074"/>
    <w:rsid w:val="00A00515"/>
    <w:rsid w:val="00A06941"/>
    <w:rsid w:val="00A168C1"/>
    <w:rsid w:val="00A30267"/>
    <w:rsid w:val="00A32DF7"/>
    <w:rsid w:val="00A44DEA"/>
    <w:rsid w:val="00A9503D"/>
    <w:rsid w:val="00AB5397"/>
    <w:rsid w:val="00AE318F"/>
    <w:rsid w:val="00B30BB6"/>
    <w:rsid w:val="00B6769D"/>
    <w:rsid w:val="00B80D92"/>
    <w:rsid w:val="00BB64BC"/>
    <w:rsid w:val="00BE5B5A"/>
    <w:rsid w:val="00C87CB2"/>
    <w:rsid w:val="00CA5DBC"/>
    <w:rsid w:val="00CB75ED"/>
    <w:rsid w:val="00D46D8D"/>
    <w:rsid w:val="00E3311B"/>
    <w:rsid w:val="00E5692D"/>
    <w:rsid w:val="00ED092E"/>
    <w:rsid w:val="00ED3855"/>
    <w:rsid w:val="00F77318"/>
    <w:rsid w:val="00F92F51"/>
    <w:rsid w:val="00F9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950E4-DEF0-4B0C-847B-4B2391192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583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Diaz Martinez, Ruben</cp:lastModifiedBy>
  <cp:revision>22</cp:revision>
  <cp:lastPrinted>2021-06-09T11:44:00Z</cp:lastPrinted>
  <dcterms:created xsi:type="dcterms:W3CDTF">2021-09-14T13:47:00Z</dcterms:created>
  <dcterms:modified xsi:type="dcterms:W3CDTF">2022-01-20T10:05:00Z</dcterms:modified>
</cp:coreProperties>
</file>